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5a4"/>
          <w:sz w:val="36"/>
          <w:szCs w:val="36"/>
          <w:u w:val="none"/>
          <w:shd w:fill="auto" w:val="clear"/>
          <w:vertAlign w:val="baseline"/>
          <w:rtl w:val="0"/>
        </w:rPr>
        <w:t xml:space="preserve">POLÍTICA DE SEGURANÇA DA INFORMAÇÃO - POSIN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120130" cy="6120130"/>
            <wp:effectExtent b="0" l="0" r="0" t="0"/>
            <wp:wrapSquare wrapText="bothSides" distB="0" distT="0" distL="0" distR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red"/>
          <w:rtl w:val="0"/>
        </w:rPr>
        <w:t xml:space="preserve">16/07/</w:t>
      </w:r>
      <w:r w:rsidDel="00000000" w:rsidR="00000000" w:rsidRPr="00000000">
        <w:rPr>
          <w:rFonts w:ascii="Arial" w:cs="Arial" w:eastAsia="Arial" w:hAnsi="Arial"/>
          <w:rtl w:val="0"/>
        </w:rPr>
        <w:t xml:space="preserve">2021</w:t>
      </w:r>
    </w:p>
    <w:p w:rsidR="00000000" w:rsidDel="00000000" w:rsidP="00000000" w:rsidRDefault="00000000" w:rsidRPr="00000000" w14:paraId="00000009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Versão 1.0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HISTÓRICO DE ALTERAÇÕES</w:t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2429"/>
        <w:gridCol w:w="3606"/>
        <w:gridCol w:w="3603"/>
        <w:tblGridChange w:id="0">
          <w:tblGrid>
            <w:gridCol w:w="2429"/>
            <w:gridCol w:w="3606"/>
            <w:gridCol w:w="360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 é o documento chave da Política de Segurança da Informação - POSIN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Tornar a segurança da informação como um dos elementos fundamentais no planejamento estratégico 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Secretaria de Estado da Administração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 os padrões mínimos obrigatórios para o devido uso e proteção das informações criadas, recebidas, armazenadas, processadas, transmitidas ou impressas na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Secretaria de Estado da Administração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Estabelecer as competências e atribuições dos atores envolvidos nesta política;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Elencar os processos necessários para atingir um padrão aceitável de Segurança da Informação, conforme as legislações existentes e os padrões que o mercado estabelece;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Difundir os aspectos relacionados à Segurança da Informação 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 Secretaria de Estado da Administração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Criado em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GESIN – DITI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16/07/2021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Gerência de Infraestrutura e Segurança da Informação - GESIN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pgSz w:h="16838" w:w="11906" w:orient="portrait"/>
          <w:pgMar w:bottom="1134" w:top="1693" w:left="1134" w:right="1134" w:header="1134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SUMÁRIO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POLÍTICA DE SEGURANÇA DA INFORMAÇÃO - POSIN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283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HISTÓRICO DE ALTERAÇÕES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1 – APRESENTAÇÃO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2 – DOS OBJETIVOS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3 – DECLARAÇÃO DE COMPROMETIMENTO DA ALTA GESTÃO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4 – ABRANGÊNCIA E DIVULGAÇÃO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5 – DOCUMENTOS QUE COMPÕEM A POSIN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5.1 – COMITÊ DE SEGURANÇA DA INFORMAÇÃO: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 – PLANO DE CONTINUIDADE DE NEGÓCIO (PCN):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5.3 – PLANO DE GESTÃO DE ATIVOS DE INFORMAÇÃO: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 – PLANO DE GESTÃO DE RISCOS DE SEGURANÇA DA INFORMAÇÃO: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 – PLANO DE SEGURANÇA PARA FORNECEDORES: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 – PLANO DE CONTROLE DE ACESSO À INFORMAÇÃO: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5.7 – PLANO DE CONSENTIMENTOS DE DADOS: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5.8 – PLANO DE PROTEÇÃO DE DADOS PESSOAIS BASEADA NA LGPD: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5.9 – PLANO DE TREINAMENTO E CONSCIENTIZAÇÃO DOS USUÁRIOS SOBRE SEGURANÇA DA INFORMAÇÃO: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– APRESENTAÇÃO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documento descreve a Política de Segurança da Informação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SEA – Secretaria de Estado da Administração de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política consiste na adoção de medidas para proteção da informação das diversas ameaças visando preservar a integridade, confidencialidade, disponibilidade e autenticidade dos ativos de informação.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diretrizes descritas neste documento servem para orientar as ações para iniciar, implementar, manter e melhorar a gestão da segurança da informação e comunicação de maneira a promover a criação de alicerces para a proteção da informação.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Política de Segurança da Informação e Comunicação é uma declaração formal acerca do compromisso com a proteção, controle e monitoramento das informações processadas, armazenadas, transmitidas ou custodiadas, de sua propriedade e/ou sob sua guarda.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diretrizes apresentadas nesta Política foram baseadas nas recomendações das publicações da família de normas NBR ISO/IEC 27000.</w:t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– DOS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Além   de   buscar   preservar as informações e seus respectivos ativos quanto à confidencialidade, integridade, disponibilidade e autenticidade são objetivos da Política de Segurança da Informação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SEA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Estabelecer diretrizes para a disponibilização e utilização de recursos de informação, serviços de redes de dados, estações de trabalho, internet, telecomunicações e correio eletrônico institucional.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Designar, definir ou alterar papéis e responsabilidades do grupo responsável pela Segurança da Informação e Comunicações.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Apoiar a implantação das iniciativas relativas à Segurança da Informação e Comunicações.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Possibilitar a criação de controles e promover a otimização dos recursos e investimentos em tecnologia da informação, contribuindo com a minimização dos riscos associados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– DECLARAÇÃO DE COMPROMETIMENTO DA ALTA GESTÃO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alta gestão do órgão reconhece a importância dos ativos de informação da organização e de seus clientes, fornecedores e parceiros, que estão sob sua responsabilidade. Esta apoia o Sistema de Gestão de Segurança da Informação em suas atividades, visando a garantia dos princípios de confidencialidade, integridade e disponibilidade e compromete-se a implantar, manter, divulgar e fiscalizar esta política dentro da organização.</w:t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– ABRANGÊNCIA E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POSIN e suas eventuais normas complementares aplicam-se em toda a organização, abrangendo os servidores, prestadores de serviço, colaboradores, estagiários, consultores externos e a quem, de alguma forma, tenha acesso aos ativos de informação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SEA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qualquer meio ou suporte.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princípios e diretrizes gerais desta POSIN também se aplicam às entidades vinculadas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SEA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 quaisquer relacionamentos com outros órgãos e entidades públicos ou privados.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documento, dentre outras diretrizes, dá ciência a cada envolvido de que os ambientes, sistemas, recursos computacionais e redes informacionais do órgão poderão ser monitorados e gravados, com prévia informação, conforme previsto na legislação brasileira.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Política de Segurança da Informação será implementada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SEA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meio de normas e procedimentos específicos, obrigatórios para todos os usuários, independentemente do tipo de vínculo, nível hierárquico ou função.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dirigentes, empregados, servidores, colaboradores, estagiários, prestadores de serviços e visitantes da empresa.</w:t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83b0"/>
          <w:sz w:val="36"/>
          <w:szCs w:val="36"/>
          <w:u w:val="none"/>
          <w:shd w:fill="auto" w:val="clear"/>
          <w:vertAlign w:val="baseline"/>
          <w:rtl w:val="0"/>
        </w:rPr>
        <w:t xml:space="preserve">5 – DOCUMENTOS QUE COMPÕEM A POSIN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 – COMITÊ DE SEGURANÇA DA INFORMAÇÃO: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comitê é responsável pela gestão da segurança da informação nos aspectos físicos e lógicos.</w:t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 – PLANO DE CONTINUIDADE DE NEGÓCIO (PCN):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responsabilidade pela continuidade dos negócios, bem como pelo desenvolvimento do PCN é do Comitê de Segurança da Informação.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PCN deve descrever os controles preventivos e corretivos para situações de contingência.</w:t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 – PLANO DE GESTÃO DE ATIVOS DE INFORMAÇÃO: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ativos de informação devem ser classificados de acordo com aspectos legais e requisitos de negócio.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responsabilidade pelo sistema de classificação de ativos é do Comitê de segurança da informação.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responsabilidade pela classificação dos ativos de informação em cada setor é do respectivo gestor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 – PLANO DE GESTÃO DE RISCOS DE SEGURANÇA DA INFORMAÇÃO: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análise de risco deve abranger aspectos físicos e lógicos da segurança da informação.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análise de risco deve resultar em um plano de ação para a redução dos riscos encontrados.</w:t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 – PLANO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GESTÃO DE CONTRATOS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política de Segurança da Informação para fornecedores deve ser parte integrante dos contratos.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auditorias de segurança da informação em seus fornecedores, quando as informações fornecidas forem de classificação restrita.</w:t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 – PLANO DE CONTROLE DE ACESSO À INFORMAÇÃO: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Segurança Física: Descrever os controles e monitoramento dos ambientes físicos.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Segurança Lógica: Descrever controles de acesso à internet, controle de acesso à rede interna, armazenamento e manuseio de informações, utilização de e-mail, instalação e utilização de sistemas corporativos, uso de senhas.</w:t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5.7 – PLANO DE CONSENTIMENTOS DE DADOS: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Obter consentimento das partes envolvidas para dar segurança legal.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Captação de dados de terceiros e seu armazenamento, uso de dados e privacidade.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Consentimento de sigilo e confidencialidade.</w:t>
      </w:r>
    </w:p>
    <w:p w:rsidR="00000000" w:rsidDel="00000000" w:rsidP="00000000" w:rsidRDefault="00000000" w:rsidRPr="00000000" w14:paraId="00000062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5.8 – PLANO DE PROTEÇÃO DE DADOS PESSOAIS BASEADA NA LGPD: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00" w:before="0" w:line="288" w:lineRule="auto"/>
        <w:ind w:left="707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terceiros a conformidade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a LGPD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00" w:before="0" w:line="288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Questionário para a conformidade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6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5.9 – PLANO DE TREINAMENTO E CONSCIENTIZAÇÃO DOS USUÁRIOS SOBRE SEGURANÇA DA INFORMAÇÃO: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 conteúdo para divulgar a Política de Segurança da Informação e avaliar o nível de maturidade;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necessidades de treinamento e capacitação dos usuários;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Mostrar e sensibilizar sobre a importância da manutenção das ações de Segurança da Informação.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4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usuários devem assinar um termo de ciência em relação à Política de Segurança da Informação.</w:t>
      </w:r>
    </w:p>
    <w:sectPr>
      <w:footerReference r:id="rId10" w:type="default"/>
      <w:type w:val="nextPage"/>
      <w:pgSz w:h="16838" w:w="11906" w:orient="portrait"/>
      <w:pgMar w:bottom="1693" w:top="1693" w:left="1134" w:right="1134" w:header="1134" w:footer="1134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red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2383155</wp:posOffset>
          </wp:positionH>
          <wp:positionV relativeFrom="paragraph">
            <wp:posOffset>-676908</wp:posOffset>
          </wp:positionV>
          <wp:extent cx="1499870" cy="832485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9870" cy="832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6"/>
        <w:szCs w:val="16"/>
        <w:highlight w:val="re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highlight w:val="red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highlight w:val="red"/>
        <w:u w:val="none"/>
        <w:vertAlign w:val="baseline"/>
        <w:rtl w:val="0"/>
      </w:rPr>
      <w:t xml:space="preserve">SECRETARIA DE ESTADO DA ADMINISTRAÇÃO- SEA</w:t>
    </w:r>
  </w:p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6"/>
        <w:szCs w:val="16"/>
        <w:highlight w:val="re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upperRoman"/>
      <w:lvlText w:val="%2."/>
      <w:lvlJc w:val="left"/>
      <w:pPr>
        <w:ind w:left="1080" w:hanging="360"/>
      </w:pPr>
      <w:rPr/>
    </w:lvl>
    <w:lvl w:ilvl="2">
      <w:start w:val="1"/>
      <w:numFmt w:val="upperRoman"/>
      <w:lvlText w:val="%3."/>
      <w:lvlJc w:val="left"/>
      <w:pPr>
        <w:ind w:left="1440" w:hanging="360"/>
      </w:pPr>
      <w:rPr/>
    </w:lvl>
    <w:lvl w:ilvl="3">
      <w:start w:val="1"/>
      <w:numFmt w:val="upperRoman"/>
      <w:lvlText w:val="%4."/>
      <w:lvlJc w:val="left"/>
      <w:pPr>
        <w:ind w:left="1800" w:hanging="360"/>
      </w:pPr>
      <w:rPr/>
    </w:lvl>
    <w:lvl w:ilvl="4">
      <w:start w:val="1"/>
      <w:numFmt w:val="upperRoman"/>
      <w:lvlText w:val="%5."/>
      <w:lvlJc w:val="left"/>
      <w:pPr>
        <w:ind w:left="2160" w:hanging="360"/>
      </w:pPr>
      <w:rPr/>
    </w:lvl>
    <w:lvl w:ilvl="5">
      <w:start w:val="1"/>
      <w:numFmt w:val="upperRoman"/>
      <w:lvlText w:val="%6."/>
      <w:lvlJc w:val="left"/>
      <w:pPr>
        <w:ind w:left="2520" w:hanging="360"/>
      </w:pPr>
      <w:rPr/>
    </w:lvl>
    <w:lvl w:ilvl="6">
      <w:start w:val="1"/>
      <w:numFmt w:val="upperRoman"/>
      <w:lvlText w:val="%7."/>
      <w:lvlJc w:val="left"/>
      <w:pPr>
        <w:ind w:left="2880" w:hanging="360"/>
      </w:pPr>
      <w:rPr/>
    </w:lvl>
    <w:lvl w:ilvl="7">
      <w:start w:val="1"/>
      <w:numFmt w:val="upperRoman"/>
      <w:lvlText w:val="%8."/>
      <w:lvlJc w:val="left"/>
      <w:pPr>
        <w:ind w:left="3240" w:hanging="360"/>
      </w:pPr>
      <w:rPr/>
    </w:lvl>
    <w:lvl w:ilvl="8">
      <w:start w:val="1"/>
      <w:numFmt w:val="upperRoman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707" w:hanging="283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1414" w:hanging="283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2121" w:hanging="283.000000000000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  <w:ind w:left="3535" w:hanging="283.0000000000001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  <w:ind w:left="0" w:firstLine="0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Tahoma" w:eastAsia="Segoe UI" w:hAnsi="Liberation Serif"/>
      <w:color w:val="000000"/>
      <w:kern w:val="0"/>
      <w:sz w:val="24"/>
      <w:szCs w:val="24"/>
      <w:lang w:bidi="hi-IN" w:eastAsia="zh-CN" w:val="pt-BR"/>
    </w:rPr>
  </w:style>
  <w:style w:type="paragraph" w:styleId="Ttulo1">
    <w:name w:val="Heading 1"/>
    <w:basedOn w:val="Ttulo"/>
    <w:next w:val="Corpodotexto"/>
    <w:qFormat w:val="1"/>
    <w:pPr>
      <w:numPr>
        <w:ilvl w:val="0"/>
        <w:numId w:val="1"/>
      </w:numPr>
      <w:spacing w:after="120" w:before="240"/>
      <w:outlineLvl w:val="0"/>
    </w:pPr>
    <w:rPr>
      <w:b w:val="1"/>
      <w:bCs w:val="1"/>
      <w:sz w:val="36"/>
      <w:szCs w:val="36"/>
    </w:rPr>
  </w:style>
  <w:style w:type="paragraph" w:styleId="Ttulo2">
    <w:name w:val="Heading 2"/>
    <w:basedOn w:val="Ttulo"/>
    <w:next w:val="Corpodotexto"/>
    <w:qFormat w:val="1"/>
    <w:pPr>
      <w:numPr>
        <w:ilvl w:val="1"/>
        <w:numId w:val="1"/>
      </w:numPr>
      <w:spacing w:after="120" w:before="200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"/>
    <w:next w:val="Corpodotexto"/>
    <w:qFormat w:val="1"/>
    <w:pPr>
      <w:numPr>
        <w:ilvl w:val="2"/>
        <w:numId w:val="1"/>
      </w:numPr>
      <w:spacing w:after="120" w:before="140"/>
      <w:outlineLvl w:val="2"/>
    </w:pPr>
    <w:rPr>
      <w:b w:val="1"/>
      <w:bCs w:val="1"/>
      <w:sz w:val="28"/>
      <w:szCs w:val="28"/>
    </w:rPr>
  </w:style>
  <w:style w:type="paragraph" w:styleId="Ttulo5">
    <w:name w:val="Heading 5"/>
    <w:basedOn w:val="Ttulo"/>
    <w:next w:val="Corpodotexto"/>
    <w:qFormat w:val="1"/>
    <w:pPr>
      <w:numPr>
        <w:ilvl w:val="4"/>
        <w:numId w:val="1"/>
      </w:numPr>
      <w:spacing w:after="60" w:before="120"/>
      <w:outlineLvl w:val="4"/>
    </w:pPr>
    <w:rPr>
      <w:b w:val="1"/>
      <w:bCs w:val="1"/>
      <w:sz w:val="24"/>
      <w:szCs w:val="24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Vnculodendice">
    <w:name w:val="Vínculo de índice"/>
    <w:qFormat w:val="1"/>
    <w:rPr/>
  </w:style>
  <w:style w:type="character" w:styleId="Smbolosdenumerao">
    <w:name w:val="Símbolos de numeração"/>
    <w:qFormat w:val="1"/>
    <w:rPr/>
  </w:style>
  <w:style w:type="character" w:styleId="Marcas">
    <w:name w:val="Marcas"/>
    <w:qFormat w:val="1"/>
    <w:rPr>
      <w:rFonts w:ascii="OpenSymbol" w:cs="OpenSymbol" w:eastAsia="OpenSymbol" w:hAnsi="OpenSymbol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/>
  </w:style>
  <w:style w:type="paragraph" w:styleId="CabealhoeRodap">
    <w:name w:val="Cabeçalho e Rodapé"/>
    <w:basedOn w:val="Normal"/>
    <w:qFormat w:val="1"/>
    <w:pPr>
      <w:suppressLineNumbers w:val="1"/>
      <w:tabs>
        <w:tab w:val="clear" w:pos="1134"/>
        <w:tab w:val="center" w:leader="none" w:pos="4819"/>
        <w:tab w:val="right" w:leader="none" w:pos="9638"/>
      </w:tabs>
    </w:pPr>
    <w:rPr/>
  </w:style>
  <w:style w:type="paragraph" w:styleId="Cabealho">
    <w:name w:val="Header"/>
    <w:basedOn w:val="CabealhoeRodap"/>
    <w:pPr>
      <w:suppressLineNumbers w:val="1"/>
    </w:pPr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Sumrio1">
    <w:name w:val="TOC 1"/>
    <w:basedOn w:val="Ndice"/>
    <w:pPr>
      <w:tabs>
        <w:tab w:val="clear" w:pos="1134"/>
        <w:tab w:val="right" w:leader="dot" w:pos="9638"/>
      </w:tabs>
      <w:ind w:left="0" w:hanging="0"/>
    </w:pPr>
    <w:rPr/>
  </w:style>
  <w:style w:type="paragraph" w:styleId="Sumrio10">
    <w:name w:val="Sumário 10"/>
    <w:basedOn w:val="Ndice"/>
    <w:qFormat w:val="1"/>
    <w:pPr>
      <w:tabs>
        <w:tab w:val="clear" w:pos="1134"/>
        <w:tab w:val="right" w:leader="dot" w:pos="9638"/>
      </w:tabs>
      <w:ind w:left="2547" w:hanging="0"/>
    </w:pPr>
    <w:rPr/>
  </w:style>
  <w:style w:type="paragraph" w:styleId="Ttulodondicealfabtico">
    <w:name w:val="Index Heading"/>
    <w:basedOn w:val="Ttulo"/>
    <w:pPr>
      <w:suppressLineNumbers w:val="1"/>
      <w:ind w:left="0" w:hanging="0"/>
    </w:pPr>
    <w:rPr>
      <w:b w:val="1"/>
      <w:bCs w:val="1"/>
      <w:sz w:val="32"/>
      <w:szCs w:val="32"/>
    </w:rPr>
  </w:style>
  <w:style w:type="paragraph" w:styleId="TOAHeading">
    <w:name w:val="TOA Heading"/>
    <w:basedOn w:val="Ttulodondicealfabtico"/>
    <w:qFormat w:val="1"/>
    <w:pPr>
      <w:suppressLineNumbers w:val="1"/>
      <w:ind w:left="0" w:hanging="0"/>
    </w:pPr>
    <w:rPr>
      <w:b w:val="1"/>
      <w:bCs w:val="1"/>
      <w:sz w:val="32"/>
      <w:szCs w:val="32"/>
    </w:rPr>
  </w:style>
  <w:style w:type="paragraph" w:styleId="Sumrio2">
    <w:name w:val="TOC 2"/>
    <w:basedOn w:val="Ndice"/>
    <w:pPr>
      <w:tabs>
        <w:tab w:val="clear" w:pos="1134"/>
        <w:tab w:val="right" w:leader="dot" w:pos="9638"/>
      </w:tabs>
      <w:ind w:left="283" w:hanging="0"/>
    </w:pPr>
    <w:rPr/>
  </w:style>
  <w:style w:type="paragraph" w:styleId="Rodap">
    <w:name w:val="Footer"/>
    <w:basedOn w:val="CabealhoeRodap"/>
    <w:pPr>
      <w:suppressLineNumbers w:val="1"/>
    </w:pPr>
    <w:rPr/>
  </w:style>
  <w:style w:type="paragraph" w:styleId="Sumrio3">
    <w:name w:val="TOC 3"/>
    <w:basedOn w:val="Ndice"/>
    <w:pPr>
      <w:tabs>
        <w:tab w:val="clear" w:pos="1134"/>
        <w:tab w:val="right" w:leader="dot" w:pos="9638"/>
      </w:tabs>
      <w:ind w:left="566" w:hanging="0"/>
    </w:pPr>
    <w:rPr/>
  </w:style>
  <w:style w:type="paragraph" w:styleId="Sumrio4">
    <w:name w:val="TOC 4"/>
    <w:basedOn w:val="Ndice"/>
    <w:pPr>
      <w:tabs>
        <w:tab w:val="clear" w:pos="1134"/>
        <w:tab w:val="right" w:leader="dot" w:pos="9638"/>
      </w:tabs>
      <w:ind w:left="849" w:hanging="0"/>
    </w:pPr>
    <w:rPr/>
  </w:style>
  <w:style w:type="paragraph" w:styleId="Sumrio8">
    <w:name w:val="TOC 8"/>
    <w:basedOn w:val="Ndice"/>
    <w:pPr>
      <w:tabs>
        <w:tab w:val="clear" w:pos="1134"/>
        <w:tab w:val="right" w:leader="dot" w:pos="9638"/>
      </w:tabs>
      <w:ind w:left="1981" w:hanging="0"/>
    </w:pPr>
    <w:rPr/>
  </w:style>
  <w:style w:type="paragraph" w:styleId="LOnormal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LOnormal1">
    <w:name w:val="LO-normal1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Liberation Serif" w:cs="Tahoma" w:eastAsia="Segoe UI" w:hAnsi="Liberation Serif"/>
      <w:color w:val="000000"/>
      <w:kern w:val="0"/>
      <w:sz w:val="24"/>
      <w:szCs w:val="24"/>
      <w:lang w:bidi="hi-IN" w:eastAsia="zh-CN" w:val="pt-BR"/>
    </w:rPr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Ttulodosumrio">
    <w:name w:val="TOA Heading"/>
    <w:basedOn w:val="Ttulodondicealfabtico"/>
    <w:pPr>
      <w:suppressLineNumbers w:val="1"/>
      <w:ind w:left="0" w:hanging="0"/>
    </w:pPr>
    <w:rPr>
      <w:b w:val="1"/>
      <w:bC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document/d/1gSrDIjNVUtD7hYK0PFGW1T5n4cddnEg0/edit#heading=h.3znysh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vtI0WRnRw2wi7vxbBYlEV5fig==">AMUW2mUVePLTXPDtTOg4DXk/b1r+pyxgU/5YfL2OaJGjlUSsjuYa5NOrp2c3CeK1DEAwvnCvPEnGpu7dZ08akTWHnY7D8inELbFOwo2pP8uD6bsoPBNKr53KkUy2JI8ERNT0hHA1M8pA9j4kxtGWHZDnztaUoBB4/ntLQBzuQAKCRKM8Ubgh158JlcKC0jyhlRx4MCnT7NrVxfcP++SV0zsRPZ7di+ky5xil2/bVzQh6oVTUdVUsC2nYs14GbV05AV1CPVSQGiLK+kwmz+LNVAYm872OryTeeE20DidL8mACMhmzlxSGFNmME/6IBBojJud+ubd0pGpnFmsmLOlILlui/fq+I97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